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257 vom 3. Juni 1987</w:t>
      </w:r>
    </w:p>
    <w:p>
      <w:r>
        <w:t>Bundesgericht (BGE), 1987-06-03, FR</w:t>
      </w:r>
    </w:p>
    <w:p>
      <w:r>
        <w:rPr>
          <w:b/>
        </w:rPr>
        <w:t xml:space="preserve">Quelle: </w:t>
      </w:r>
      <w:r>
        <w:t>https://mcp.opencaselaw.ch/entscheid/bge_113 IA 257</w:t>
      </w:r>
    </w:p>
    <w:p>
      <w:r>
        <w:t>FR: BGE 113 IA 257 du 3 juin 1987</w:t>
      </w:r>
    </w:p>
    <w:p>
      <w:r>
        <w:t>IT: BGE 113 IA 257 del 3 giugno 1987</w:t>
      </w:r>
    </w:p>
    <w:p>
      <w:pPr>
        <w:pStyle w:val="Heading2"/>
      </w:pPr>
      <w:r>
        <w:t>Regeste</w:t>
      </w:r>
    </w:p>
    <w:p>
      <w:r>
        <w:t>Regeste Art. 4 BV, persönliche Freiheit; Recht, Einsicht in ein Polizeidossier zu nehmen. Prinzipien der konkreten Normenkontrolle (hier von Art. 1 des Genfer Gesetzes vom 29. September 1977 "sur les renseignements et les dossiers de police..." (LDP), der jedermann die Einsicht in ein ihn betreffendes Polizeidossier verwehrt) (E. 3). Umfang des unabhängig von einem pendenten oder abgeschlossenen Verfahren bestehenden, durch Art. 4 BV garantierten Akteneinsichtsrechts (E. 4a). Das Recht auf Kenntnisnahme der Daten über die eigene Person, deren Aufbewahrung zu einem Eingriff in die persönliche Freiheit führen kann, erscheint als notwendige Voraussetzung für den Anspruch auf allfällige Berichtigung. Lässt sich daher aus der persönlichen Freiheit generell ein Recht auf Einsicht in offizielle Akten mit Angaben zur Person ableiten? Frage offengelassen (E. 4b und c). Unabhängig von den Regeln über die Akteneinsicht verleiht das Verfassungsrecht dem Privaten ein Auskunftsrecht bezüglich der ihn betreffenden von der Behörde registrierten Daten. Verhältnismässigkeit und Interessenabwägung (E. 4d und e). Das in Art. 1 LDP enthaltene absolute Verbot verstösst gegen dieses Auskunftsrecht (E. 4f).</w:t>
      </w:r>
    </w:p>
    <w:p>
      <w:pPr>
        <w:pStyle w:val="Heading2"/>
      </w:pPr>
      <w:r>
        <w:t>Erwägungen</w:t>
      </w:r>
    </w:p>
    <w:p>
      <w:r>
        <w:rPr>
          <w:b/>
        </w:rPr>
        <w:t>E. 3</w:t>
      </w:r>
    </w:p>
    <w:p>
      <w:r>
        <w:t>Mettant en cause la constitutionnalité de l' art 1er LDP , la recourante se plaint du refus qui lui a été opposé de pouvoir consulter le dossier ou la fiche de renseignements établis à son sujet. a) L' art. 1er LDP a la teneur suivante: "Principe du secret Les dossiers de police sont rigoureusement secrets. Aucun renseignement contenu dans les dossiers ou fichiers de la police ne peut être communiqué à l'intéressé ou à des tiers, à l'exception des autorités désignées par les art. 2, 4 et 6 (art. 320 du code pénal). Celui qui apprend qu'une information inexacte a été fournie sur son compte et qui rend vraisemblable qu'elle est consignée dans un dossier ou fichier de police peut en demander la correction en s'adressant par écrit au chef de la police, pour autant que l'intérêt public ou l'intérêt prépondérant d'un tiers ne s'y oppose pas. La réponse de ce dernier peut être déférée dans les 30 jours dès sa notification au président de la Chambre d'accusation. Dans ce cas, seul le président de la Chambre d'accusation est autorisé à consulter le dossier de police ou la fiche de renseignements de l'intéressé. La procédure est secrète même à l'égard de la personne concernée. Aucun recours n'est ouvert contre la décision du président de la Chambre d'accusation." Cette disposition dénie à tout particulier - et donc aussi à la personne concernée - le droit de se renseigner auprès des organes de police sur les données personnelles qu'ils ont recueillies. Les seuls renseignements accessibles se rapportent aux fiches de contravention, que l'intéressé peut consulter dans les locaux du service compétent, en conformité de l' art. 7 LDP . Pour le surplus, les art. 2 et 6 de cette loi précisent les conditions dans lesquelles les autorités qu'ils énumèrent peuvent prendre connaissance des dossiers de police. La recourante met en discussion la constitutionnalité de ce système à la fois sous l'angle de l' art. 4 Cst. et sous celui du droit constitutionnel non écrit à la liberté personnelle. En revanche, elle ne se réfère pas à l' art. 8 CEDH , qui prohibe les ingérences de l'autorité publique dans l'exercice du droit de toute personne au respect de sa vie privée et familiale, de son domicile et de sa BGE 113 Ia 257 S. 261 correspondance, à moins qu'une telle ingérence soit prévue par la loi et qu'elle soit au surplus nécessaire, dans une société démocratique, à la sauvegarde de l'un des biens énumérés dans cette disposition, dont le champ d'application s'étend également au recueil et au traitement par l'Etat de données personnelles (cf. ATF 113 Ia 7 consid. 4b/bb et les références; Cour européenne des droits de l'homme, arrêt Leander du 26 mars 1987, série A, vol. 116). b) Celui qui conteste la constitutionnalité d'un arrêté de portée générale peut l'attaquer directement par la voie d'un recours de droit public déposé dans les trente jours dès sa promulgation ( ATF 107 Ia 333 ). Le Tribunal fédéral exerce alors, à l'égard des dispositions critiquées, ce qu'il est convenu d'appeler le contrôle abstrait des normes. Il s'impose, en pareil cas, une certaine réserve lorsque les textes discutés sont susceptibles d'une interprétation conforme à la Constitution ( ATF 111 Ia 25 et les arrêts cités, 295 consid. 2). La constitutionnalité d'un arrêté de portée générale peut en effet être ultérieurement soumise au Tribunal fédéral par voie incidente, à l'occasion d'un acte d'application. Exerçant alors le contrôle concret des normes critiquées, le Tribunal fédéral n'a plus à faire preuve de la retenue qu'il s'impose dans le cadre d'un contrôle abstrait. Le fait que l' art. 1er LDP est entré en vigueur depuis longtemps - soit depuis le 1er février 1983 dans sa teneur actuelle - n'empêche donc nullement la recourante d'en critiquer la constitutionnalité, dès lors qu'il constitue la base légale de la décision d'application contre laquelle elle fait recours. Il convient simplement de rappeler que, si le Tribunal fédéral arrive à la conclusion que ce grief d'inconstitutionnalité est fondé, il ne le dira pas dans le dispositif de son arrêt, mais seulement dans ses motifs, en constatant que la disposition contestée - qu'il n'a plus le pouvoir d'annuler - ne peut être appliquée dans le cas concret, tout au moins comme elle l'a été par l'autorité intimée (cf. ATF 108 Ia 43 consid. 1b, ATF 107 Ia 54 consid. 2a, 129 consid. 1a, 333 consid. 1a).</w:t>
      </w:r>
    </w:p>
    <w:p>
      <w:r>
        <w:rPr>
          <w:b/>
        </w:rPr>
        <w:t>E. 4</w:t>
      </w:r>
    </w:p>
    <w:p>
      <w:r>
        <w:t>a) Le droit de chacun de consulter son dossier est un élément de son droit d'être entendu garanti par l' art. 4 Cst. Ce droit peut être exercé non seulement au cours d'une procédure, mais également de manière indépendante, en dehors de toute procédure, par exemple pour consulter un dossier clôturé. Dans ce dernier cas, le requérant doit toutefois rendre vraisemblable qu'il BGE 113 Ia 257 S. 262 est titulaire d'un intérêt digne de protection ( ATF 112 Ia 101 , ATF 110 Ia 85 consid. 4a, ATF 95 I 108 ). Le droit de consulter un dossier clôturé peut même, selon les circonstances, être reconnu à un tiers, à la condition qu'il justifie lui-même un tel intérêt ( ATF 95 I 108 ). L' art. 4 Cst. garantit enfin, indépendamment d'une procédure pendante ou clôturée, le droit de toute personne à la consultation d'un dossier la concernant directement. Ainsi étendu, ce droit est limité par l'intérêt public ou l'intérêt digne de protection des tiers au maintien du secret ( ATF 113 Ia 4 consid. 4a, ATF 112 Ia 101 , ATF 110 Ia 85 consid. 4a). L'intérêt public s'opposant à la consultation du dossier pourra résider dans la nécessité de sauvegarder la sûreté de l'Etat, la défense nationale, voire le bien-être économique du pays (cf. aussi l'énumération contenue à l' art. 8 par. 2 CEDH ). Il conviendra de prendre en considération l'intérêt de tiers en cas d'atteinte ou de menace à leur sphère privée ou à celle de leurs proches, à leur sécurité - notamment pour les personnes ayant donné des renseignements - ou à des secrets légalement protégés dont ils sont les détenteurs, comme le secret médical ou le secret commercial. L'autorité appelée à répondre à une requête tendant à l'exercice de ce droit procédera donc toujours à une pesée concrète et sérieuse des intérêts en présence (cf. ATF 112 Ia 102 consid. 6, ATF 110 Ia 86 consid. 4b, ATF 103 Ia 493 , ATF 100 Ia 102 consid. 5b, ATF 95 I 109 consid. 2b, 445/446). b) La liberté personnelle, droit constitutionnel non écrit, imprescriptible et inaliénable, donne à l'individu le droit d'aller et de venir et le droit au respect de son intégrité corporelle. Elle le protège en outre dans l'exercice de sa faculté d'apprécier une situation de fait déterminée et d'agir selon cette appréciation. Cette garantie n'englobe certes pas la protection de toute possibilité de choix et de détermination de l'homme, si peu importante soit-elle; elle recouvre cependant toutes les libertés élémentaires dont l'exercice est indispensable à l'épanouissement de la personne humaine ( ATF 112 Ia 100 consid. 5b, 111 Ia 345 consid. 3b, 232/3 consid. 3a, 109 Ia consid. 4a). La liberté personnelle oblige le détenteur de la puissance publique à un comportement envers le citoyen qui soit compatible avec le respect de sa personnalité. Elle protège intégralement la dignité de l'homme et sa valeur propre. Le droit de la personnalité, spécialement les art. 28 à 28l CC entrés en vigueur le 1er juillet 1985, constitue sous cet angle, et dans une mesure importante, une mise en oeuvre de ce droit constitutionnel non écrit dans les relations entre particuliers BGE 113 Ia 257 S. 263 (cf. ATF 102 Ia 521 consid. 3b, ATF 98 Ia 514 ; ad art. 28 ss CC , cf. notamment: J.-M. GROSSEN, Banques de données électroniques et protection de la personnalité - un aspect de la relation entre le progrès technique et la politique juridique, in: Computer und Privatsphäre, Zurich 1978, p. 8; W. EGLOFF, Braucht die Schweiz ein Datenschutzgesetz?, RDS 118/1977 I p. 352 ss). Le Tribunal fédéral a admis, dans ce sens, que le relevé de données personnelles par les autorités de police, telle la prise de photographies ou d'empreintes digitales, touchait à la sphère intime de l'individu et constituait, partant, une atteinte à la liberté personnelle ( ATF 109 Ia 155 consid. 6a et les arrêts cités). Il a également considéré que les caractéristiques personnelles de l'individu évoluent et qu'elles ne doivent dès lors pas être indéfiniment figées par la conservation d'anciennes données (ATF ATF 106 Ia 36 consid. 4b). A ce jour, cependant, il n'a pas encore eu l'occasion de dire si la seule conservation, par une autorité publique, de données personnelles pouvait porter atteinte à la liberté personnelle, parce que, dans les causes qui lui ont été soumises, soit les données en cause étaient promises à la destruction ( ATF 109 Ia 157 consid. 6b, ATF 107 Ia 145 consid. 5a), soit le recours ne comportait pas de grief suffisamment spécifié quant à une violation de ce droit constitutionnel (cf. ATF 113 Ia 6 consid. 4b/bb). Ce dernier arrêt met toutefois en évidence le rapport étroit qui existe entre l'enregistrement ou la conservation de données et le droit fondamental de la liberté personnelle. Il relève que des données recueillies lors d'un contrôle de police opéré dans un contexte peu favorable pour la réputation de l'intéressé sont susceptibles d'affecter son droit d'aller et venir librement, en sorte qu'il existe, pour ce dernier, un intérêt important à pouvoir accéder à ces données afin d'en contrôler l'exactitude (consid. 4b/bb). c) La conservation de données strictement personnelles et non accessibles à chacun est susceptible de provoquer une atteinte à la liberté personnelle de l'individu concerné (sur les difficultés d'une classification des données selon leur degré de "sensibilité", cf. SPIROS SIMITIS, Les garanties générales quant à la qualité des données à caractère personnel faisant l'objet d'un traitement informatisé, et HERBERT MAISL, Les garanties particulières relatives au traitement automatisé de certaines données personnelles, tous deux in: Informatique et droit en Europe, Bruxelles 1985, respectivement p. 305 ss et p. 317 ss; cf. aussi BGE 113 Ia 257 S. 264 RAINER J. SCHWEIZER, Die Grundlagen der schweizerischen Datenschutzgesetzgebung, in: WuR 34/1982, p. 38 s.). Ce risque doit pouvoir être prévenu notamment par le contrôle de l'exactitude des renseignements enregistrés et, le cas échéant, par leur rectification. Il y va d'ailleurs aussi de l'intérêt de l'administration elle-même à détenir uniquement des données utiles et correctes (cf. dans ce sens ATF 113 Ia 11 consid. 4d, 109 Ia 299). Or, les intérêts légitimes de l'individu concerné ne sont bien souvent qu'insuffisamment protégés par une information indirecte, donnée par le détenteur des renseignements en cause ou un organe de contrôle (cf. par exemple ATF 101 Ia 312 consid. 2a). Aussi le droit de tout intéressé à consulter lui-même un dossier ou un fichier comportant des données qui le concernent directement apparaît-il comme un préalable nécessaire à l'exercice effectif de son droit d'en obtenir, le cas échéant, la rectification (cf. PAUL-HENRI STEINAUER/FABIENNE HOHL, Le droit d'accès, in: Informatique et protection de la personnalité, Fribourg 1981, p. 82 et 90 s.; cf. aussi ATF 113 Ia 8 consid. 4b/cc et consid. 4d in fine). Ainsi, quiconque prétend, avec quelque vraisemblance, que des renseignements personnels enregistrés à son sujet sont, non pas inexacts ou superflus - car comment pourrait-il en faire la démonstration (cf. ATF 113 Ia 8 consid. 4b/cc)? -, mais susceptibles de porter atteinte à sa liberté personnelle doit pouvoir en requérir la consultation sans avoir à justifier encore d'un autre intérêt digne de protection (à l'inverse de ce qu'exige en général la jurisprudence rendue sur la base de l' art. 4 Cst. pour la consultation des dossiers; cf. ci-dessus consid. 4a). On peut certes se demander si le droit de consulter les données tire son fondement de l' art. 4 Cst. ou du droit de la liberté personnelle, en tant qu'accessoire du droit d'en obtenir la rectification. En l'espèce, la question peut demeurer indécise, car elle n'est pas décisive. d) Indépendamment des règles régissant le droit de consulter un dossier formellement constitué, le droit constitutionnel confère donc à la personne concernée le droit d'être renseignée, d'une part, sur les données qui ont été enregistrées à son sujet par une autorité publique et, d'autre part, sur l'usage qui en a été fait. Ce droit aux renseignements est du reste reconnu, dans son principe, par la plupart des législations des pays occidentaux (cf. STEINAUER/HOHL, op.cit., p. 91 ss; MARIE-CHRISTINE HENRY-MEININGER, Les garanties quant au droit d'avoir connaissance des fichiers BGE 113 Ia 257 S. 265 automatisés, in: Informatique et droit en Europe, Bruxelles 1985, p. 341; CONSEIL DE L'EUROPE, Rapport explicatif concernant la Convention pour la protection des personnes à l'égard du traitement automatisé des données à caractère personnel, Publications du Conseil de l'Europe, Strasbourg 1981, p. 6 par. 5). Il est appelé à jouer un rôle de plus en plus important pour la protection de l'individu, car le traitement informatique des données en permet la diffusion et le traitement immédiats à tous les échelons de l'administration publique (voir à ce sujet, parmi d'autres: YVES BURNAND, Banques de données électroniques et droit de l'information, thèse Lausanne 1974, p. 54 ss et p. 87 ss; CHARLES-ALBERT MORAND, Problèmes constitutionnels relatifs à la protection de la personnalité à l'égard des banques de données électroniques, in: Informatique et protection de la personnalité, Fribourg 1981, p. 15 ss; J.P. MÜLLER/S. MÜLLER, Grundrechte - Besonderer Teil, Berne 1985, p. 24; THOMAS W. SCHREPFER, Datenschutz und Verfassung, thèse Berne 1985, p. 21 ss et p. 70; PIERRE TSCHANNEN, Verfassungsmässigkeit von Aidsregistern, in: Recht gegen Aids, Berne 1987, p. 48; R.J. SCHWEIZER, op.cit., p. 28). Ce droit aux renseignements doit être distingué du droit des citoyens à l'information, qui n'est reconnu que dans une mesure limitée, comme un corollaire de la liberté de la presse et de la liberté d'expression (cf. ATF 111 II 50 ; ATF 107 Ia 236 , 305/6; ATF 104 Ia 88 ; voir aussi CHARLES-ALBERT MORAND, op.cit., p. 31 s.). Le droit de l'intéressé à être renseigné sur les données recueillies à son sujet par une autorité s'étend à la fois aux données de base, telles qu'elles sont enregistrées, et à celles qui résultent de leur traitement, en d'autres termes aux analyses et appréciations que les autorités ont faites en se fondant sur des données recueillies par elles, et qu'elles ont consignées dans leurs dossiers. e) L'exercice du droit aux renseignements peut être limité, voire supprimé, s'il se heurte à l'intérêt prépondérant de la collectivité publique, de tiers, voire de la personne concernée elle-même ( ATF 112 Ia 101 , ATF 110 Ia 85 consid. 4a; cf. STEINAUER/HOHL, op.cit., p. 93 ss). En présence d'un tel intérêt prépondérant, il appartiendra à l'autorité d'agir conformément au principe de la proportionnalité. Il se peut en effet que les intérêts publics ou privés menacés par l'accès à un dossier personnel soient préservés par des mesures moins restrictives que le refus pur et simple de la consultation. Dans certains cas, il suffira de dissimuler à la personne concernée l'origine ou l'identité du destinataire des BGE 113 Ia 257 S. 266 renseignements qui lui sont divulgués. Il peut suffire aussi d'en occulter ou d'en caviarder certains éléments, voire de n'en autoriser la consultation que par l'intermédiaire d'un tiers tenu au secret. De même, lorsque l'autorité de recours est appelée à procéder à un contrôle complet du dossier (cf. ATF 112 Ia 102 , 95 I 109), elle ne doit en révéler la teneur que dans la mesure où des intérêts publics ou privés au maintien du secret ne s'y opposent pas. f) L' art. 1er LDP est une disposition légale claire qui ne laisse aucune place à l'appréciation des autorités détentrices des dossiers ou fichiers de police. Il leur fait l'interdiction absolue de communiquer à l'intéressé qui le requiert tous renseignements sur le contenu de ces documents, quelle qu'en soit la teneur et quelle que soit la situation du requérant. Cette disposition est dès lors en contradiction avec le droit aux renseignements tel qu'il vient d'être décrit. Elle ne se prête de surcroît à aucune interprétation conforme à la Constitution. En se fondant sur elle pour refuser sans autre à la recourante le droit de prendre connaissance de la fiche de police établie à son sujet, les autorités cantonales ont violé en tout cas l' art. 4 Cst. Les décisions attaquées doivent dès lors être annulées et la cause renvoyée aux autorités intimées pour qu'elles se prononcent sur l'opportunité de donner suite à la demande de la recourante, compte tenu de l'ensemble des circonstances. Il leur appartiendra d'examiner si la consultation par la recourante de la fiche qui la concerne peut entraver la lutte de la police contre la criminalité organisée et, par là, compromettre la sécurité collective.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